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10bis                                 </w:t>
      </w:r>
      <w:bookmarkStart w:id="3" w:name="_GoBack"/>
      <w:bookmarkEnd w:id="3"/>
      <w:r>
        <w:rPr>
          <w:rFonts w:hint="eastAsia" w:ascii="Arial" w:hAnsi="Arial" w:cs="Arial"/>
          <w:b/>
          <w:sz w:val="24"/>
          <w:szCs w:val="24"/>
          <w:lang w:val="en-US" w:eastAsia="zh-CN"/>
        </w:rPr>
        <w:t>R4-2405207</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eastAsia="宋体" w:cs="Arial"/>
          <w:b/>
          <w:kern w:val="2"/>
          <w:sz w:val="24"/>
          <w:szCs w:val="24"/>
          <w:lang w:val="en-US" w:eastAsia="zh-CN" w:bidi="ar-SA"/>
        </w:rPr>
        <w:t>Changsha, China, 15 April – 19 April, 2024</w:t>
      </w:r>
    </w:p>
    <w:p>
      <w:pPr>
        <w:pStyle w:val="15"/>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eastAsia="Calibri" w:cs="Arial"/>
          <w:b/>
          <w:bCs/>
          <w:sz w:val="24"/>
        </w:rPr>
        <w:t>Discussion on NR support for dedicated spectrum less than 5MHz for FR1 demodulation performance requirements</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6.8.7.1</w:t>
      </w:r>
    </w:p>
    <w:p>
      <w:pPr>
        <w:widowControl w:val="0"/>
        <w:tabs>
          <w:tab w:val="left" w:pos="1985"/>
        </w:tabs>
        <w:spacing w:before="120" w:after="120"/>
        <w:ind w:left="1980" w:hanging="1980"/>
        <w:outlineLvl w:val="0"/>
        <w:rPr>
          <w:rStyle w:val="60"/>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rFonts w:hint="default"/>
          <w:szCs w:val="22"/>
          <w:lang w:val="en-US" w:eastAsia="zh-CN"/>
        </w:rPr>
      </w:pPr>
      <w:r>
        <w:rPr>
          <w:b/>
          <w:kern w:val="0"/>
          <w:sz w:val="24"/>
          <w:szCs w:val="24"/>
        </w:rPr>
        <w:t>1 Introduction</w:t>
      </w:r>
      <w:r>
        <w:rPr>
          <w:rFonts w:hint="default"/>
          <w:szCs w:val="22"/>
          <w:lang w:val="en-US" w:eastAsia="zh-CN"/>
        </w:rPr>
        <w:t xml:space="preserve"> </w:t>
      </w:r>
    </w:p>
    <w:p>
      <w:pPr>
        <w:spacing w:before="120" w:after="120"/>
        <w:rPr>
          <w:rFonts w:hint="default" w:eastAsia="宋体"/>
          <w:szCs w:val="22"/>
          <w:lang w:val="en-US" w:eastAsia="zh-CN"/>
        </w:rPr>
      </w:pPr>
      <w:r>
        <w:rPr>
          <w:rFonts w:hint="eastAsia"/>
          <w:szCs w:val="22"/>
          <w:lang w:val="en-US" w:eastAsia="zh-CN"/>
        </w:rPr>
        <w:t>In RAN#95e meeting, a revised WID on NR support for dedicated spectrum less than 5MHz for FR1 was approved [1]. It focuses on market request from vertical industry with the operator bandwidth less than 5MHz, such as Future Railway Mobile Communication System (FRMCS) in Europe, Smart Grids in USA and Public Safety in Europe. In those above deployment scenarios, the possible available bandwidth for NR operation is 2.8~3.6 MHz for FRMCS or 3MHz for smart grids and Public Safety.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iCs/>
                <w:lang w:val="en-US" w:eastAsia="zh-CN"/>
              </w:rPr>
            </w:pPr>
            <w:r>
              <w:rPr>
                <w:rFonts w:hint="eastAsia"/>
                <w:iCs/>
                <w:lang w:val="en-US" w:eastAsia="zh-CN"/>
              </w:rPr>
              <w:t>The following objectives shall be included for dedicated FDD spectrum in FR1:</w:t>
            </w:r>
          </w:p>
          <w:p>
            <w:pPr>
              <w:numPr>
                <w:ilvl w:val="0"/>
                <w:numId w:val="7"/>
              </w:numPr>
              <w:tabs>
                <w:tab w:val="left" w:pos="420"/>
                <w:tab w:val="clear" w:pos="0"/>
              </w:tabs>
              <w:overflowPunct w:val="0"/>
              <w:autoSpaceDE w:val="0"/>
              <w:autoSpaceDN w:val="0"/>
              <w:adjustRightInd w:val="0"/>
              <w:spacing w:after="180"/>
              <w:ind w:left="420" w:leftChars="0"/>
              <w:textAlignment w:val="baseline"/>
              <w:rPr>
                <w:iCs/>
                <w:lang w:val="en-US" w:eastAsia="zh-CN"/>
              </w:rPr>
            </w:pPr>
            <w:r>
              <w:rPr>
                <w:iCs/>
                <w:lang w:val="en-US" w:eastAsia="zh-CN"/>
              </w:rPr>
              <w:t xml:space="preserve">Specify necessary RAN4 requirements to support deploying NR in spectrum allocations from approximately 3 MHz up to below 5 MHz [RAN4], including in bands n100, </w:t>
            </w:r>
            <w:r>
              <w:rPr>
                <w:lang w:eastAsia="zh-CN"/>
              </w:rPr>
              <w:t>n106, n26, n28 and n85</w:t>
            </w:r>
            <w:r>
              <w:rPr>
                <w:iCs/>
                <w:lang w:val="en-US" w:eastAsia="zh-CN"/>
              </w:rPr>
              <w:t>:</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Specify system parameters (including channel and sync rasters) for the associated dedicated spectrum.</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Minimize impact on RF requirements:</w:t>
            </w:r>
          </w:p>
          <w:p>
            <w:pPr>
              <w:numPr>
                <w:ilvl w:val="3"/>
                <w:numId w:val="7"/>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Reuse 5 MHz channel bandwidth at least for FRMCS use case (assuming co-located NR and GSM-R with same operator).</w:t>
            </w:r>
          </w:p>
          <w:p>
            <w:pPr>
              <w:numPr>
                <w:ilvl w:val="3"/>
                <w:numId w:val="7"/>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Specify the required RF requirements for optional 3 MHz channel bandwidth in bands n100, n106, n26, n28 and n85.</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rFonts w:hint="eastAsia"/>
                <w:iCs/>
                <w:lang w:val="en-US" w:eastAsia="zh-CN"/>
              </w:rPr>
            </w:pPr>
            <w:r>
              <w:rPr>
                <w:rFonts w:hint="eastAsia"/>
                <w:lang w:eastAsia="zh-CN"/>
              </w:rPr>
              <w:t>S</w:t>
            </w:r>
            <w:r>
              <w:rPr>
                <w:lang w:eastAsia="zh-CN"/>
              </w:rPr>
              <w:t>pecify RRM requirements while minimizing specification impact to support operation in dedicated spectrum allocations from approximately 3 MHz up to below 5 MHz.</w:t>
            </w:r>
          </w:p>
          <w:p>
            <w:pPr>
              <w:overflowPunct w:val="0"/>
              <w:autoSpaceDE w:val="0"/>
              <w:autoSpaceDN w:val="0"/>
              <w:adjustRightInd w:val="0"/>
              <w:spacing w:after="180"/>
              <w:textAlignment w:val="baseline"/>
              <w:rPr>
                <w:iCs/>
                <w:lang w:val="en-US" w:eastAsia="zh-CN"/>
              </w:rPr>
            </w:pPr>
            <w:r>
              <w:rPr>
                <w:iCs/>
                <w:lang w:val="en-US" w:eastAsia="zh-CN"/>
              </w:rPr>
              <w:t>Specify necessary UE/BS performance requirements for NR operation in dedicated FDD FR1 spectrum allocations from approximately 3MHz up to below 5MHz, corresponding to the core requirements:</w:t>
            </w:r>
          </w:p>
          <w:p>
            <w:pPr>
              <w:numPr>
                <w:ilvl w:val="0"/>
                <w:numId w:val="7"/>
              </w:numPr>
              <w:overflowPunct w:val="0"/>
              <w:autoSpaceDE w:val="0"/>
              <w:autoSpaceDN w:val="0"/>
              <w:adjustRightInd w:val="0"/>
              <w:spacing w:after="180"/>
              <w:ind w:left="420" w:leftChars="0"/>
              <w:textAlignment w:val="baseline"/>
              <w:rPr>
                <w:iCs/>
                <w:lang w:val="en-US" w:eastAsia="zh-CN"/>
              </w:rPr>
            </w:pPr>
            <w:r>
              <w:rPr>
                <w:rFonts w:hint="eastAsia"/>
                <w:iCs/>
                <w:lang w:val="en-US" w:eastAsia="zh-CN"/>
              </w:rPr>
              <w:t>S</w:t>
            </w:r>
            <w:r>
              <w:rPr>
                <w:iCs/>
                <w:lang w:val="en-US" w:eastAsia="zh-CN"/>
              </w:rPr>
              <w:t>pecify necessary RRM performance requirements (RAN4)</w:t>
            </w:r>
          </w:p>
          <w:p>
            <w:pPr>
              <w:numPr>
                <w:ilvl w:val="0"/>
                <w:numId w:val="7"/>
              </w:numPr>
              <w:overflowPunct w:val="0"/>
              <w:autoSpaceDE w:val="0"/>
              <w:autoSpaceDN w:val="0"/>
              <w:adjustRightInd w:val="0"/>
              <w:spacing w:after="180"/>
              <w:ind w:left="420" w:leftChars="0"/>
              <w:textAlignment w:val="baseline"/>
              <w:rPr>
                <w:iCs/>
                <w:lang w:val="en-US" w:eastAsia="zh-CN"/>
              </w:rPr>
            </w:pPr>
            <w:r>
              <w:rPr>
                <w:iCs/>
                <w:lang w:val="en-US" w:eastAsia="zh-CN"/>
              </w:rPr>
              <w:t>Specify necessary UE demodulation performance and CSI reporting requirements (RAN4)</w:t>
            </w:r>
          </w:p>
          <w:p>
            <w:pPr>
              <w:numPr>
                <w:ilvl w:val="0"/>
                <w:numId w:val="7"/>
              </w:numPr>
              <w:overflowPunct w:val="0"/>
              <w:autoSpaceDE w:val="0"/>
              <w:autoSpaceDN w:val="0"/>
              <w:adjustRightInd w:val="0"/>
              <w:spacing w:after="180"/>
              <w:ind w:left="420" w:leftChars="0"/>
              <w:textAlignment w:val="baseline"/>
              <w:rPr>
                <w:iCs/>
                <w:lang w:val="en-US" w:eastAsia="zh-CN"/>
              </w:rPr>
            </w:pPr>
            <w:r>
              <w:rPr>
                <w:iCs/>
                <w:lang w:val="en-US" w:eastAsia="zh-CN"/>
              </w:rPr>
              <w:t>Specify necessary BS demodulation performance requirements (RAN4)</w:t>
            </w:r>
          </w:p>
          <w:p>
            <w:pPr>
              <w:numPr>
                <w:ilvl w:val="0"/>
                <w:numId w:val="7"/>
              </w:numPr>
              <w:overflowPunct w:val="0"/>
              <w:autoSpaceDE w:val="0"/>
              <w:autoSpaceDN w:val="0"/>
              <w:adjustRightInd w:val="0"/>
              <w:spacing w:after="180"/>
              <w:ind w:left="420" w:leftChars="0"/>
              <w:textAlignment w:val="baseline"/>
              <w:rPr>
                <w:rFonts w:hint="eastAsia"/>
                <w:szCs w:val="22"/>
                <w:vertAlign w:val="baseline"/>
              </w:rPr>
            </w:pPr>
            <w:r>
              <w:rPr>
                <w:iCs/>
                <w:lang w:val="en-US" w:eastAsia="zh-CN"/>
              </w:rPr>
              <w:t>Specify necessary BS conformance tests (RAN4)</w:t>
            </w:r>
          </w:p>
        </w:tc>
      </w:tr>
    </w:tbl>
    <w:p>
      <w:pPr>
        <w:spacing w:before="120" w:after="120"/>
        <w:rPr>
          <w:rFonts w:hint="default"/>
          <w:szCs w:val="22"/>
          <w:lang w:val="en-US" w:eastAsia="zh-CN"/>
        </w:rPr>
      </w:pPr>
      <w:r>
        <w:rPr>
          <w:rFonts w:hint="default"/>
          <w:szCs w:val="22"/>
          <w:lang w:val="en-US" w:eastAsia="zh-CN"/>
        </w:rPr>
        <w:t>In this document, we focus on the RAN</w:t>
      </w:r>
      <w:r>
        <w:rPr>
          <w:rFonts w:hint="eastAsia"/>
          <w:szCs w:val="22"/>
          <w:lang w:val="en-US" w:eastAsia="zh-CN"/>
        </w:rPr>
        <w:t>4</w:t>
      </w:r>
      <w:r>
        <w:rPr>
          <w:rFonts w:hint="default"/>
          <w:szCs w:val="22"/>
          <w:lang w:val="en-US" w:eastAsia="zh-CN"/>
        </w:rPr>
        <w:t xml:space="preserve"> </w:t>
      </w:r>
      <w:r>
        <w:rPr>
          <w:rFonts w:hint="eastAsia"/>
          <w:szCs w:val="22"/>
          <w:lang w:val="en-US" w:eastAsia="zh-CN"/>
        </w:rPr>
        <w:t xml:space="preserve">demodulation </w:t>
      </w:r>
      <w:r>
        <w:rPr>
          <w:rFonts w:hint="default"/>
          <w:szCs w:val="22"/>
          <w:lang w:val="en-US" w:eastAsia="zh-CN"/>
        </w:rPr>
        <w:t>aspects and discuss the potential enhancement for the dedicated spectrum less than 5MHz</w:t>
      </w:r>
      <w:r>
        <w:rPr>
          <w:rFonts w:hint="eastAsia"/>
          <w:szCs w:val="22"/>
          <w:lang w:val="en-US" w:eastAsia="zh-CN"/>
        </w:rPr>
        <w:t>[2]</w:t>
      </w:r>
      <w:r>
        <w:rPr>
          <w:rFonts w:hint="default"/>
          <w:szCs w:val="22"/>
          <w:lang w:val="en-US" w:eastAsia="zh-CN"/>
        </w:rPr>
        <w:t xml:space="preserve">. </w:t>
      </w:r>
    </w:p>
    <w:p>
      <w:pPr>
        <w:spacing w:before="120" w:after="120"/>
        <w:rPr>
          <w:rFonts w:hint="default"/>
          <w:szCs w:val="22"/>
          <w:lang w:val="en-US" w:eastAsia="zh-CN"/>
        </w:rPr>
      </w:pPr>
    </w:p>
    <w:p>
      <w:pPr>
        <w:widowControl w:val="0"/>
        <w:pBdr>
          <w:top w:val="single" w:color="auto" w:sz="12" w:space="3"/>
        </w:pBdr>
        <w:spacing w:beforeLines="0" w:afterLines="0"/>
        <w:jc w:val="left"/>
        <w:outlineLvl w:val="0"/>
        <w:rPr>
          <w:rFonts w:hint="eastAsia"/>
          <w:lang w:val="en-US" w:eastAsia="zh-CN"/>
        </w:rPr>
      </w:pPr>
      <w:r>
        <w:rPr>
          <w:rFonts w:hint="eastAsia"/>
          <w:b/>
          <w:kern w:val="0"/>
          <w:sz w:val="24"/>
          <w:szCs w:val="24"/>
        </w:rPr>
        <w:t xml:space="preserve">2 </w:t>
      </w:r>
      <w:r>
        <w:rPr>
          <w:b/>
          <w:kern w:val="0"/>
          <w:sz w:val="24"/>
          <w:szCs w:val="24"/>
        </w:rPr>
        <w:t>Discussion</w:t>
      </w:r>
    </w:p>
    <w:p>
      <w:pPr>
        <w:rPr>
          <w:rFonts w:hint="default" w:ascii="Times New Roman" w:hAnsi="Times New Roman" w:cs="Times New Roman"/>
          <w:lang w:val="en-US" w:eastAsia="zh-CN"/>
        </w:rPr>
      </w:pPr>
    </w:p>
    <w:p>
      <w:pPr>
        <w:bidi w:val="0"/>
        <w:outlineLvl w:val="1"/>
        <w:rPr>
          <w:rFonts w:hint="eastAsia"/>
          <w:lang w:val="en-US" w:eastAsia="zh-CN"/>
        </w:rPr>
      </w:pPr>
      <w:r>
        <w:rPr>
          <w:rFonts w:hint="eastAsia" w:ascii="Times New Roman" w:eastAsia="宋体"/>
          <w:b/>
          <w:bCs/>
          <w:sz w:val="24"/>
          <w:szCs w:val="24"/>
          <w:lang w:val="en-US" w:eastAsia="zh-CN"/>
        </w:rPr>
        <w:t>2.</w:t>
      </w:r>
      <w:r>
        <w:rPr>
          <w:rFonts w:hint="eastAsia"/>
          <w:b/>
          <w:bCs/>
          <w:sz w:val="24"/>
          <w:szCs w:val="24"/>
          <w:lang w:val="en-US" w:eastAsia="zh-CN"/>
        </w:rPr>
        <w:t>1</w:t>
      </w:r>
      <w:r>
        <w:rPr>
          <w:rFonts w:hint="eastAsia" w:ascii="Times New Roman" w:eastAsia="宋体"/>
          <w:b/>
          <w:bCs/>
          <w:sz w:val="24"/>
          <w:szCs w:val="24"/>
          <w:lang w:val="en-US" w:eastAsia="zh-CN"/>
        </w:rPr>
        <w:t xml:space="preserve"> PD</w:t>
      </w:r>
      <w:r>
        <w:rPr>
          <w:rFonts w:hint="eastAsia"/>
          <w:b/>
          <w:bCs/>
          <w:sz w:val="24"/>
          <w:szCs w:val="24"/>
          <w:lang w:val="en-US" w:eastAsia="zh-CN"/>
        </w:rPr>
        <w:t>C</w:t>
      </w:r>
      <w:r>
        <w:rPr>
          <w:rFonts w:hint="eastAsia" w:ascii="Times New Roman" w:eastAsia="宋体"/>
          <w:b/>
          <w:bCs/>
          <w:sz w:val="24"/>
          <w:szCs w:val="24"/>
          <w:lang w:val="en-US" w:eastAsia="zh-CN"/>
        </w:rPr>
        <w:t xml:space="preserve">CH requirements </w:t>
      </w:r>
    </w:p>
    <w:p>
      <w:pPr>
        <w:rPr>
          <w:rFonts w:hint="eastAsia"/>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sz w:val="18"/>
                <w:szCs w:val="18"/>
              </w:rPr>
            </w:pPr>
            <w:r>
              <w:rPr>
                <w:rFonts w:eastAsia="宋体"/>
                <w:b/>
                <w:bCs/>
                <w:sz w:val="18"/>
                <w:szCs w:val="18"/>
                <w:u w:val="single"/>
                <w:lang w:eastAsia="zh-CN"/>
              </w:rPr>
              <w:t>Issue 1-3-3: PDCCH requirements in HST conditions</w:t>
            </w:r>
          </w:p>
          <w:p>
            <w:pPr>
              <w:overflowPunct w:val="0"/>
              <w:autoSpaceDE w:val="0"/>
              <w:autoSpaceDN w:val="0"/>
              <w:adjustRightInd w:val="0"/>
              <w:spacing w:after="180"/>
              <w:textAlignment w:val="baseline"/>
              <w:rPr>
                <w:sz w:val="18"/>
                <w:szCs w:val="18"/>
              </w:rPr>
            </w:pPr>
            <w:r>
              <w:rPr>
                <w:sz w:val="18"/>
                <w:szCs w:val="18"/>
              </w:rPr>
              <w:t>Way forward:</w:t>
            </w:r>
          </w:p>
          <w:p>
            <w:pPr>
              <w:overflowPunct w:val="0"/>
              <w:autoSpaceDE w:val="0"/>
              <w:autoSpaceDN w:val="0"/>
              <w:adjustRightInd w:val="0"/>
              <w:spacing w:after="180"/>
              <w:textAlignment w:val="baseline"/>
              <w:rPr>
                <w:sz w:val="18"/>
                <w:szCs w:val="18"/>
              </w:rPr>
            </w:pPr>
            <w:r>
              <w:rPr>
                <w:sz w:val="18"/>
                <w:szCs w:val="18"/>
              </w:rPr>
              <w:t>Further discussion is needed:</w:t>
            </w:r>
          </w:p>
          <w:p>
            <w:pPr>
              <w:pStyle w:val="34"/>
              <w:numPr>
                <w:ilvl w:val="0"/>
                <w:numId w:val="8"/>
              </w:numPr>
              <w:overflowPunct/>
              <w:autoSpaceDE/>
              <w:autoSpaceDN/>
              <w:adjustRightInd/>
              <w:spacing w:after="120"/>
              <w:ind w:firstLineChars="0"/>
              <w:textAlignment w:val="auto"/>
              <w:rPr>
                <w:rFonts w:eastAsia="宋体"/>
                <w:sz w:val="18"/>
                <w:szCs w:val="18"/>
                <w:lang w:eastAsia="zh-CN"/>
              </w:rPr>
            </w:pPr>
            <w:r>
              <w:rPr>
                <w:rFonts w:eastAsia="宋体"/>
                <w:sz w:val="18"/>
                <w:szCs w:val="18"/>
                <w:lang w:eastAsia="zh-CN"/>
              </w:rPr>
              <w:t>Option 1: Introduce PDCCH requirements at 3MHz CBW in HST conditions.</w:t>
            </w:r>
          </w:p>
          <w:p>
            <w:pPr>
              <w:pStyle w:val="34"/>
              <w:numPr>
                <w:ilvl w:val="0"/>
                <w:numId w:val="8"/>
              </w:numPr>
              <w:overflowPunct w:val="0"/>
              <w:autoSpaceDE w:val="0"/>
              <w:autoSpaceDN w:val="0"/>
              <w:adjustRightInd w:val="0"/>
              <w:spacing w:before="120" w:after="120"/>
              <w:ind w:firstLineChars="0"/>
              <w:textAlignment w:val="baseline"/>
              <w:rPr>
                <w:rFonts w:hint="eastAsia"/>
                <w:vertAlign w:val="baseline"/>
                <w:lang w:val="en-US" w:eastAsia="zh-CN"/>
              </w:rPr>
            </w:pPr>
            <w:r>
              <w:rPr>
                <w:rFonts w:eastAsia="宋体"/>
                <w:sz w:val="18"/>
                <w:szCs w:val="18"/>
                <w:lang w:eastAsia="zh-CN"/>
              </w:rPr>
              <w:t>Option 2: Not to introduce HST scenario for PDCCH requirements.</w:t>
            </w:r>
          </w:p>
        </w:tc>
      </w:tr>
    </w:tbl>
    <w:p>
      <w:pPr>
        <w:rPr>
          <w:rFonts w:hint="default"/>
          <w:lang w:val="en-US" w:eastAsia="zh-CN"/>
        </w:rPr>
      </w:pPr>
      <w:r>
        <w:rPr>
          <w:rFonts w:hint="eastAsia"/>
          <w:lang w:val="en-US" w:eastAsia="zh-CN"/>
        </w:rPr>
        <w:t xml:space="preserve">It was observed that PDCCH requirements were never introduced by RAN4 in legacy HST conditions, and therefore, there is no need to introduce them in NR_FR1_less than_5MHz_BW. Moreover, RAN4 agreed not to introduce new PDSCH requirements in HST conditions.  </w:t>
      </w:r>
    </w:p>
    <w:p>
      <w:pPr>
        <w:rPr>
          <w:rFonts w:hint="eastAsia"/>
          <w:b/>
          <w:bCs/>
          <w:i/>
          <w:iCs/>
          <w:szCs w:val="21"/>
          <w:lang w:val="en-US" w:eastAsia="zh-CN"/>
        </w:rPr>
      </w:pPr>
      <w:r>
        <w:rPr>
          <w:rFonts w:hint="eastAsia"/>
          <w:b/>
          <w:bCs/>
          <w:i/>
          <w:iCs/>
          <w:szCs w:val="21"/>
          <w:lang w:val="en-US" w:eastAsia="zh-CN"/>
        </w:rPr>
        <w:t>Proposal 1. It is propose not to introduce HST scenario for PDCCH requirements.</w:t>
      </w: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less than 5MHz </w:t>
      </w:r>
      <w:r>
        <w:rPr>
          <w:rFonts w:hint="eastAsia"/>
          <w:bCs/>
          <w:kern w:val="0"/>
          <w:szCs w:val="21"/>
        </w:rPr>
        <w:t>demodulation requirements, The conclusions are:</w:t>
      </w:r>
    </w:p>
    <w:p>
      <w:pPr>
        <w:widowControl w:val="0"/>
        <w:numPr>
          <w:ilvl w:val="255"/>
          <w:numId w:val="0"/>
        </w:numPr>
        <w:spacing w:beforeLines="0" w:afterLines="0" w:line="240" w:lineRule="auto"/>
        <w:rPr>
          <w:rFonts w:hint="eastAsia"/>
          <w:bCs/>
          <w:kern w:val="0"/>
          <w:szCs w:val="21"/>
        </w:rPr>
      </w:pPr>
    </w:p>
    <w:p>
      <w:pPr>
        <w:rPr>
          <w:rFonts w:hint="eastAsia"/>
          <w:b/>
          <w:bCs/>
          <w:i/>
          <w:iCs/>
          <w:szCs w:val="21"/>
          <w:lang w:val="en-US" w:eastAsia="zh-CN"/>
        </w:rPr>
      </w:pPr>
      <w:r>
        <w:rPr>
          <w:rFonts w:hint="eastAsia"/>
          <w:b/>
          <w:bCs/>
          <w:i/>
          <w:iCs/>
          <w:szCs w:val="21"/>
          <w:lang w:val="en-US" w:eastAsia="zh-CN"/>
        </w:rPr>
        <w:t>Proposal 1. It is propose not to introduce HST scenario for PDCCH requirements.</w:t>
      </w:r>
    </w:p>
    <w:p>
      <w:pPr>
        <w:widowControl w:val="0"/>
        <w:numPr>
          <w:ilvl w:val="255"/>
          <w:numId w:val="0"/>
        </w:numPr>
        <w:spacing w:beforeLines="0" w:afterLines="0" w:line="240" w:lineRule="auto"/>
        <w:rPr>
          <w:rFonts w:hint="eastAsia"/>
          <w:bCs/>
          <w:kern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4"/>
        <w:numPr>
          <w:ilvl w:val="0"/>
          <w:numId w:val="9"/>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 xml:space="preserve">RP-222645, Revised WID: NR support for dedicated spectrum less than 5MHz for FR1, RAN#95e. </w:t>
      </w:r>
    </w:p>
    <w:p>
      <w:pPr>
        <w:pStyle w:val="34"/>
        <w:numPr>
          <w:ilvl w:val="0"/>
          <w:numId w:val="9"/>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R4-2402863, WF on [110][318] NR_FR1_lessthan_5MHz_BW_demod. Nokia, Nokia Shanghai Bell.</w:t>
      </w:r>
    </w:p>
    <w:p>
      <w:pPr>
        <w:pStyle w:val="34"/>
        <w:numPr>
          <w:ilvl w:val="0"/>
          <w:numId w:val="0"/>
        </w:numPr>
        <w:spacing w:afterLines="0" w:line="259" w:lineRule="auto"/>
        <w:ind w:right="-22" w:rightChars="0"/>
        <w:jc w:val="left"/>
        <w:rPr>
          <w:rFonts w:eastAsiaTheme="minorHAnsi" w:cstheme="minorBidi"/>
          <w:kern w:val="0"/>
          <w:sz w:val="21"/>
          <w:szCs w:val="21"/>
        </w:rPr>
      </w:pPr>
    </w:p>
    <w:p>
      <w:pPr>
        <w:pStyle w:val="34"/>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2</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5B06A65"/>
    <w:multiLevelType w:val="multilevel"/>
    <w:tmpl w:val="05B06A65"/>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color w:val="000000" w:themeColor="text1"/>
      </w:rPr>
    </w:lvl>
    <w:lvl w:ilvl="1" w:tentative="0">
      <w:start w:val="1"/>
      <w:numFmt w:val="bullet"/>
      <w:lvlText w:val="o"/>
      <w:lvlJc w:val="left"/>
      <w:pPr>
        <w:ind w:left="1656" w:hanging="360"/>
      </w:pPr>
      <w:rPr>
        <w:rFonts w:hint="default" w:ascii="Courier New" w:hAnsi="Courier New" w:cs="Courier New"/>
        <w:color w:val="000000" w:themeColor="text1"/>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4"/>
  </w:num>
  <w:num w:numId="4">
    <w:abstractNumId w:val="5"/>
  </w:num>
  <w:num w:numId="5">
    <w:abstractNumId w:val="1"/>
  </w:num>
  <w:num w:numId="6">
    <w:abstractNumId w:val="0"/>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1BC1"/>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750D3"/>
    <w:rsid w:val="011A0B49"/>
    <w:rsid w:val="011E4C0F"/>
    <w:rsid w:val="01443BEC"/>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2EC0B2A"/>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B757E8"/>
    <w:rsid w:val="03C05350"/>
    <w:rsid w:val="03C1287B"/>
    <w:rsid w:val="03C36B0E"/>
    <w:rsid w:val="03CF67FA"/>
    <w:rsid w:val="03E358F3"/>
    <w:rsid w:val="03E84DE8"/>
    <w:rsid w:val="04030035"/>
    <w:rsid w:val="04251A4C"/>
    <w:rsid w:val="042D2E97"/>
    <w:rsid w:val="04305EA0"/>
    <w:rsid w:val="04352418"/>
    <w:rsid w:val="043865BF"/>
    <w:rsid w:val="044C78D8"/>
    <w:rsid w:val="04537B11"/>
    <w:rsid w:val="045C6122"/>
    <w:rsid w:val="04684A28"/>
    <w:rsid w:val="0476348C"/>
    <w:rsid w:val="04782230"/>
    <w:rsid w:val="0479507E"/>
    <w:rsid w:val="04894975"/>
    <w:rsid w:val="04A77C5B"/>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F2584F"/>
    <w:rsid w:val="0601277E"/>
    <w:rsid w:val="060C5AED"/>
    <w:rsid w:val="06103146"/>
    <w:rsid w:val="06172561"/>
    <w:rsid w:val="061E54DA"/>
    <w:rsid w:val="061E5E22"/>
    <w:rsid w:val="063D244B"/>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37E19"/>
    <w:rsid w:val="073D143C"/>
    <w:rsid w:val="074855FD"/>
    <w:rsid w:val="07627CA0"/>
    <w:rsid w:val="076319C4"/>
    <w:rsid w:val="07691233"/>
    <w:rsid w:val="077241E3"/>
    <w:rsid w:val="078C5933"/>
    <w:rsid w:val="078D336C"/>
    <w:rsid w:val="07905D82"/>
    <w:rsid w:val="07905E8F"/>
    <w:rsid w:val="07971B3F"/>
    <w:rsid w:val="07983294"/>
    <w:rsid w:val="07A5677E"/>
    <w:rsid w:val="07A864E9"/>
    <w:rsid w:val="07B51934"/>
    <w:rsid w:val="07B9290D"/>
    <w:rsid w:val="07BB64F5"/>
    <w:rsid w:val="07BE52B9"/>
    <w:rsid w:val="07D57946"/>
    <w:rsid w:val="07D70D20"/>
    <w:rsid w:val="07ED524D"/>
    <w:rsid w:val="080124E3"/>
    <w:rsid w:val="080C7FA0"/>
    <w:rsid w:val="080D41B9"/>
    <w:rsid w:val="082D5BBC"/>
    <w:rsid w:val="08341060"/>
    <w:rsid w:val="086414AE"/>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8C2CE3"/>
    <w:rsid w:val="099F436D"/>
    <w:rsid w:val="09BD407A"/>
    <w:rsid w:val="09DA0E26"/>
    <w:rsid w:val="09E55691"/>
    <w:rsid w:val="09F67CD5"/>
    <w:rsid w:val="0A0835C8"/>
    <w:rsid w:val="0A145721"/>
    <w:rsid w:val="0A3708FF"/>
    <w:rsid w:val="0A3A5FEA"/>
    <w:rsid w:val="0A3B01F9"/>
    <w:rsid w:val="0A3F0488"/>
    <w:rsid w:val="0A402A36"/>
    <w:rsid w:val="0A646846"/>
    <w:rsid w:val="0A7A3805"/>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2A1BB9"/>
    <w:rsid w:val="0D4B44A1"/>
    <w:rsid w:val="0D6E2620"/>
    <w:rsid w:val="0D704E21"/>
    <w:rsid w:val="0D753731"/>
    <w:rsid w:val="0D7F48FE"/>
    <w:rsid w:val="0D826E5C"/>
    <w:rsid w:val="0D883C88"/>
    <w:rsid w:val="0D900677"/>
    <w:rsid w:val="0D966BF7"/>
    <w:rsid w:val="0DBD71A3"/>
    <w:rsid w:val="0DCC3AE8"/>
    <w:rsid w:val="0DD87842"/>
    <w:rsid w:val="0DD934C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C90720"/>
    <w:rsid w:val="0ED50DDE"/>
    <w:rsid w:val="0EE228A3"/>
    <w:rsid w:val="0EE41032"/>
    <w:rsid w:val="0EEC6F1D"/>
    <w:rsid w:val="0F103291"/>
    <w:rsid w:val="0F1D498B"/>
    <w:rsid w:val="0F337178"/>
    <w:rsid w:val="0F41022A"/>
    <w:rsid w:val="0F4F4077"/>
    <w:rsid w:val="0F60682C"/>
    <w:rsid w:val="0F654B8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B11B08"/>
    <w:rsid w:val="11C67B8F"/>
    <w:rsid w:val="11E57D4F"/>
    <w:rsid w:val="11F92DAB"/>
    <w:rsid w:val="11FC38D5"/>
    <w:rsid w:val="1201463E"/>
    <w:rsid w:val="12095296"/>
    <w:rsid w:val="120C5DAD"/>
    <w:rsid w:val="1210682D"/>
    <w:rsid w:val="121563D9"/>
    <w:rsid w:val="1227318C"/>
    <w:rsid w:val="12333415"/>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85584B"/>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93238"/>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DB5C90"/>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71107B"/>
    <w:rsid w:val="18812331"/>
    <w:rsid w:val="18816F1C"/>
    <w:rsid w:val="18853F3E"/>
    <w:rsid w:val="18945127"/>
    <w:rsid w:val="18956393"/>
    <w:rsid w:val="18A8582C"/>
    <w:rsid w:val="18B50543"/>
    <w:rsid w:val="18CD7A02"/>
    <w:rsid w:val="19001FFC"/>
    <w:rsid w:val="190E2B4A"/>
    <w:rsid w:val="19256D7A"/>
    <w:rsid w:val="19322C83"/>
    <w:rsid w:val="193275C2"/>
    <w:rsid w:val="19383148"/>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53CE6"/>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03E93"/>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89503A"/>
    <w:rsid w:val="1F9225E1"/>
    <w:rsid w:val="1F935819"/>
    <w:rsid w:val="1FA6556D"/>
    <w:rsid w:val="1FAF2571"/>
    <w:rsid w:val="1FC55EDA"/>
    <w:rsid w:val="1FCA6E5B"/>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100FF"/>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53E7D"/>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2191D"/>
    <w:rsid w:val="23F70BA5"/>
    <w:rsid w:val="23F93D0D"/>
    <w:rsid w:val="24025806"/>
    <w:rsid w:val="2405417E"/>
    <w:rsid w:val="24096754"/>
    <w:rsid w:val="241B5C62"/>
    <w:rsid w:val="245872F9"/>
    <w:rsid w:val="245943D9"/>
    <w:rsid w:val="245E6B64"/>
    <w:rsid w:val="2463385E"/>
    <w:rsid w:val="246B247D"/>
    <w:rsid w:val="24752120"/>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9D0D39"/>
    <w:rsid w:val="26A30ADD"/>
    <w:rsid w:val="26C472EC"/>
    <w:rsid w:val="26EC491A"/>
    <w:rsid w:val="26ED73E1"/>
    <w:rsid w:val="26EF38F6"/>
    <w:rsid w:val="26F32A72"/>
    <w:rsid w:val="26FD510C"/>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54E06"/>
    <w:rsid w:val="283744B4"/>
    <w:rsid w:val="28485D62"/>
    <w:rsid w:val="285560D7"/>
    <w:rsid w:val="28760CA0"/>
    <w:rsid w:val="28862839"/>
    <w:rsid w:val="288A05DD"/>
    <w:rsid w:val="28937D89"/>
    <w:rsid w:val="28C96C14"/>
    <w:rsid w:val="28D53334"/>
    <w:rsid w:val="28E138E3"/>
    <w:rsid w:val="28E74216"/>
    <w:rsid w:val="28E87EE4"/>
    <w:rsid w:val="2903396A"/>
    <w:rsid w:val="29207566"/>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8698E"/>
    <w:rsid w:val="2AAC5A06"/>
    <w:rsid w:val="2ABB3D6F"/>
    <w:rsid w:val="2AC70B30"/>
    <w:rsid w:val="2ACC2AAF"/>
    <w:rsid w:val="2AD74744"/>
    <w:rsid w:val="2AD91AC2"/>
    <w:rsid w:val="2AE57C95"/>
    <w:rsid w:val="2AF35C8B"/>
    <w:rsid w:val="2B132265"/>
    <w:rsid w:val="2B142FC2"/>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A584B"/>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7E617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D768C"/>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674F8"/>
    <w:rsid w:val="2FF87390"/>
    <w:rsid w:val="2FF93066"/>
    <w:rsid w:val="2FFE62F9"/>
    <w:rsid w:val="301103CD"/>
    <w:rsid w:val="301A71CE"/>
    <w:rsid w:val="301E049B"/>
    <w:rsid w:val="302A4BE6"/>
    <w:rsid w:val="30307691"/>
    <w:rsid w:val="304478EC"/>
    <w:rsid w:val="304A314A"/>
    <w:rsid w:val="3062663F"/>
    <w:rsid w:val="30916BB1"/>
    <w:rsid w:val="30962F3E"/>
    <w:rsid w:val="30AA2585"/>
    <w:rsid w:val="30AD7725"/>
    <w:rsid w:val="30B043F0"/>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A0A45"/>
    <w:rsid w:val="32AE4A3C"/>
    <w:rsid w:val="32BA4880"/>
    <w:rsid w:val="32CB6A28"/>
    <w:rsid w:val="32DF351E"/>
    <w:rsid w:val="32E660DB"/>
    <w:rsid w:val="32EE5E41"/>
    <w:rsid w:val="32F40F87"/>
    <w:rsid w:val="32FD7C76"/>
    <w:rsid w:val="330C22FC"/>
    <w:rsid w:val="33247878"/>
    <w:rsid w:val="333D3A18"/>
    <w:rsid w:val="33465BE0"/>
    <w:rsid w:val="33540E5D"/>
    <w:rsid w:val="335A0521"/>
    <w:rsid w:val="335E7B11"/>
    <w:rsid w:val="3364318B"/>
    <w:rsid w:val="33691888"/>
    <w:rsid w:val="336A499A"/>
    <w:rsid w:val="33714830"/>
    <w:rsid w:val="33737F51"/>
    <w:rsid w:val="337964FF"/>
    <w:rsid w:val="337D18C1"/>
    <w:rsid w:val="337D34FB"/>
    <w:rsid w:val="337E7E0F"/>
    <w:rsid w:val="33B86AFE"/>
    <w:rsid w:val="33BF4199"/>
    <w:rsid w:val="33D30686"/>
    <w:rsid w:val="33FE62E7"/>
    <w:rsid w:val="340D25F6"/>
    <w:rsid w:val="340F5E5C"/>
    <w:rsid w:val="342B76C7"/>
    <w:rsid w:val="342C472B"/>
    <w:rsid w:val="343A1527"/>
    <w:rsid w:val="34447898"/>
    <w:rsid w:val="344E62FA"/>
    <w:rsid w:val="3472234D"/>
    <w:rsid w:val="347D500F"/>
    <w:rsid w:val="34830157"/>
    <w:rsid w:val="34872D27"/>
    <w:rsid w:val="349164BD"/>
    <w:rsid w:val="34A626BE"/>
    <w:rsid w:val="34B32986"/>
    <w:rsid w:val="34BD02AE"/>
    <w:rsid w:val="34C12126"/>
    <w:rsid w:val="34D13A35"/>
    <w:rsid w:val="34DA26A8"/>
    <w:rsid w:val="34E63919"/>
    <w:rsid w:val="34E960F1"/>
    <w:rsid w:val="35033D8D"/>
    <w:rsid w:val="350B42D5"/>
    <w:rsid w:val="350F6258"/>
    <w:rsid w:val="351622C7"/>
    <w:rsid w:val="351A603C"/>
    <w:rsid w:val="351D4BB8"/>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036B4"/>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56393"/>
    <w:rsid w:val="39285D57"/>
    <w:rsid w:val="392E7F2A"/>
    <w:rsid w:val="39372A0B"/>
    <w:rsid w:val="394B6470"/>
    <w:rsid w:val="39526430"/>
    <w:rsid w:val="39790F9D"/>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DE4C1D"/>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821C5"/>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911A0"/>
    <w:rsid w:val="3E1D023C"/>
    <w:rsid w:val="3E1D4B24"/>
    <w:rsid w:val="3E23398A"/>
    <w:rsid w:val="3E3A04FA"/>
    <w:rsid w:val="3E3D6B96"/>
    <w:rsid w:val="3E441C7D"/>
    <w:rsid w:val="3E445E89"/>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050364"/>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86378"/>
    <w:rsid w:val="40FD1BF0"/>
    <w:rsid w:val="41096BC0"/>
    <w:rsid w:val="410A75B6"/>
    <w:rsid w:val="410B452A"/>
    <w:rsid w:val="413353F1"/>
    <w:rsid w:val="41466208"/>
    <w:rsid w:val="41513BC9"/>
    <w:rsid w:val="41735B7F"/>
    <w:rsid w:val="41A35744"/>
    <w:rsid w:val="41A65F04"/>
    <w:rsid w:val="41BD1257"/>
    <w:rsid w:val="41D75714"/>
    <w:rsid w:val="41DD3BC3"/>
    <w:rsid w:val="41EE2F03"/>
    <w:rsid w:val="41F466FD"/>
    <w:rsid w:val="42002BC7"/>
    <w:rsid w:val="42026B03"/>
    <w:rsid w:val="420D197F"/>
    <w:rsid w:val="42187EBE"/>
    <w:rsid w:val="421C3DAC"/>
    <w:rsid w:val="4227435A"/>
    <w:rsid w:val="42303B60"/>
    <w:rsid w:val="42335C97"/>
    <w:rsid w:val="424B5824"/>
    <w:rsid w:val="42596F47"/>
    <w:rsid w:val="426973AD"/>
    <w:rsid w:val="427A67A1"/>
    <w:rsid w:val="427B6B66"/>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D772C"/>
    <w:rsid w:val="43711643"/>
    <w:rsid w:val="437556C4"/>
    <w:rsid w:val="43874CD4"/>
    <w:rsid w:val="439D51EA"/>
    <w:rsid w:val="43AF2D32"/>
    <w:rsid w:val="43B17048"/>
    <w:rsid w:val="43B76E4F"/>
    <w:rsid w:val="43B809EC"/>
    <w:rsid w:val="43BB4ACF"/>
    <w:rsid w:val="43CF0206"/>
    <w:rsid w:val="43D019CF"/>
    <w:rsid w:val="43D76DDC"/>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B0698A"/>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52C8D"/>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3E7FD8"/>
    <w:rsid w:val="474A0EAF"/>
    <w:rsid w:val="474E50BE"/>
    <w:rsid w:val="47696F9C"/>
    <w:rsid w:val="47725A17"/>
    <w:rsid w:val="477D3243"/>
    <w:rsid w:val="478821A1"/>
    <w:rsid w:val="479128A9"/>
    <w:rsid w:val="47975EDC"/>
    <w:rsid w:val="47983B19"/>
    <w:rsid w:val="479A2B88"/>
    <w:rsid w:val="47A3609D"/>
    <w:rsid w:val="47C01792"/>
    <w:rsid w:val="47C57A48"/>
    <w:rsid w:val="47D511BD"/>
    <w:rsid w:val="47D52718"/>
    <w:rsid w:val="4808150F"/>
    <w:rsid w:val="480F51A8"/>
    <w:rsid w:val="48256B1B"/>
    <w:rsid w:val="48282713"/>
    <w:rsid w:val="482A1618"/>
    <w:rsid w:val="484417FA"/>
    <w:rsid w:val="48450ECE"/>
    <w:rsid w:val="484759CD"/>
    <w:rsid w:val="484A10F9"/>
    <w:rsid w:val="484B14EC"/>
    <w:rsid w:val="485F73AE"/>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279AB"/>
    <w:rsid w:val="4958367A"/>
    <w:rsid w:val="496E52F3"/>
    <w:rsid w:val="497D5E45"/>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8236D"/>
    <w:rsid w:val="4C7950C1"/>
    <w:rsid w:val="4C81419F"/>
    <w:rsid w:val="4C923A72"/>
    <w:rsid w:val="4C9E2807"/>
    <w:rsid w:val="4CB96B0F"/>
    <w:rsid w:val="4CC42739"/>
    <w:rsid w:val="4CD315DD"/>
    <w:rsid w:val="4CD57D1F"/>
    <w:rsid w:val="4CE34E9F"/>
    <w:rsid w:val="4CED698D"/>
    <w:rsid w:val="4CF444C3"/>
    <w:rsid w:val="4CF52D94"/>
    <w:rsid w:val="4D0F1127"/>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EC367B"/>
    <w:rsid w:val="50F8688B"/>
    <w:rsid w:val="50FC4E36"/>
    <w:rsid w:val="5105169B"/>
    <w:rsid w:val="51062881"/>
    <w:rsid w:val="510861B3"/>
    <w:rsid w:val="510956BD"/>
    <w:rsid w:val="51230220"/>
    <w:rsid w:val="513C557E"/>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34B81"/>
    <w:rsid w:val="51C67EED"/>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93B7C"/>
    <w:rsid w:val="52DE691D"/>
    <w:rsid w:val="52E04D27"/>
    <w:rsid w:val="52ED0C96"/>
    <w:rsid w:val="53061721"/>
    <w:rsid w:val="530C0E6B"/>
    <w:rsid w:val="53123B04"/>
    <w:rsid w:val="532F77EA"/>
    <w:rsid w:val="533933AA"/>
    <w:rsid w:val="533B7F54"/>
    <w:rsid w:val="535009E1"/>
    <w:rsid w:val="53650168"/>
    <w:rsid w:val="536C2A29"/>
    <w:rsid w:val="537B3B7C"/>
    <w:rsid w:val="538859E4"/>
    <w:rsid w:val="53A20FFA"/>
    <w:rsid w:val="53A233E4"/>
    <w:rsid w:val="53A94C48"/>
    <w:rsid w:val="53AA7BC7"/>
    <w:rsid w:val="53AE5EA5"/>
    <w:rsid w:val="53B00B1F"/>
    <w:rsid w:val="53B2409D"/>
    <w:rsid w:val="53C615F9"/>
    <w:rsid w:val="53D6247A"/>
    <w:rsid w:val="53DB3477"/>
    <w:rsid w:val="53E77CBF"/>
    <w:rsid w:val="53F31811"/>
    <w:rsid w:val="53FE7128"/>
    <w:rsid w:val="54052798"/>
    <w:rsid w:val="54192B07"/>
    <w:rsid w:val="54247F22"/>
    <w:rsid w:val="54273903"/>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81DD3"/>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AC361A"/>
    <w:rsid w:val="55B63FD5"/>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8B2F8A"/>
    <w:rsid w:val="569D619C"/>
    <w:rsid w:val="56A55214"/>
    <w:rsid w:val="56A67978"/>
    <w:rsid w:val="56AC63C5"/>
    <w:rsid w:val="56B61F71"/>
    <w:rsid w:val="56C1700B"/>
    <w:rsid w:val="56D25618"/>
    <w:rsid w:val="56DC2761"/>
    <w:rsid w:val="56E84A97"/>
    <w:rsid w:val="57011F3E"/>
    <w:rsid w:val="5705646B"/>
    <w:rsid w:val="57060649"/>
    <w:rsid w:val="57154E66"/>
    <w:rsid w:val="57197E55"/>
    <w:rsid w:val="5732705F"/>
    <w:rsid w:val="57351D6F"/>
    <w:rsid w:val="57556ACC"/>
    <w:rsid w:val="576476C1"/>
    <w:rsid w:val="577B3337"/>
    <w:rsid w:val="577F3438"/>
    <w:rsid w:val="5784516D"/>
    <w:rsid w:val="57A11486"/>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21084"/>
    <w:rsid w:val="5C235386"/>
    <w:rsid w:val="5C3B6CFC"/>
    <w:rsid w:val="5C4C2CF4"/>
    <w:rsid w:val="5C5A77B9"/>
    <w:rsid w:val="5C6B1600"/>
    <w:rsid w:val="5C712B6D"/>
    <w:rsid w:val="5C74256C"/>
    <w:rsid w:val="5C7D70D1"/>
    <w:rsid w:val="5C8542A8"/>
    <w:rsid w:val="5C93532E"/>
    <w:rsid w:val="5C975416"/>
    <w:rsid w:val="5CA1479B"/>
    <w:rsid w:val="5CA6294E"/>
    <w:rsid w:val="5CAB7154"/>
    <w:rsid w:val="5CB35126"/>
    <w:rsid w:val="5CD8648B"/>
    <w:rsid w:val="5CDB2E8C"/>
    <w:rsid w:val="5CDB3358"/>
    <w:rsid w:val="5CED4E0C"/>
    <w:rsid w:val="5CF94FAE"/>
    <w:rsid w:val="5D034EE9"/>
    <w:rsid w:val="5D0366E8"/>
    <w:rsid w:val="5D044FED"/>
    <w:rsid w:val="5D0476B6"/>
    <w:rsid w:val="5D0A06B6"/>
    <w:rsid w:val="5D1307E8"/>
    <w:rsid w:val="5D212A05"/>
    <w:rsid w:val="5D2F4802"/>
    <w:rsid w:val="5D3444E6"/>
    <w:rsid w:val="5D3F0BDF"/>
    <w:rsid w:val="5D5B7098"/>
    <w:rsid w:val="5D634782"/>
    <w:rsid w:val="5D6E1B86"/>
    <w:rsid w:val="5D846D3F"/>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2652F0"/>
    <w:rsid w:val="5F4F1B95"/>
    <w:rsid w:val="5F683B6E"/>
    <w:rsid w:val="5F843409"/>
    <w:rsid w:val="5F875C0C"/>
    <w:rsid w:val="5F8F0B9E"/>
    <w:rsid w:val="5F8F267A"/>
    <w:rsid w:val="5FB94C48"/>
    <w:rsid w:val="5FEA3339"/>
    <w:rsid w:val="5FEC60B6"/>
    <w:rsid w:val="5FF37587"/>
    <w:rsid w:val="5FFE57B7"/>
    <w:rsid w:val="60060CD5"/>
    <w:rsid w:val="600762FF"/>
    <w:rsid w:val="60085AA3"/>
    <w:rsid w:val="600E362B"/>
    <w:rsid w:val="60183392"/>
    <w:rsid w:val="601953B5"/>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13111"/>
    <w:rsid w:val="61635733"/>
    <w:rsid w:val="61704ECD"/>
    <w:rsid w:val="61705965"/>
    <w:rsid w:val="6182260C"/>
    <w:rsid w:val="618E7D26"/>
    <w:rsid w:val="61D43A2B"/>
    <w:rsid w:val="61FF316E"/>
    <w:rsid w:val="61FF71FB"/>
    <w:rsid w:val="620D1D12"/>
    <w:rsid w:val="620F4BAD"/>
    <w:rsid w:val="621542CB"/>
    <w:rsid w:val="62383C38"/>
    <w:rsid w:val="624263A2"/>
    <w:rsid w:val="625272C3"/>
    <w:rsid w:val="625A6C6C"/>
    <w:rsid w:val="626A48D3"/>
    <w:rsid w:val="62715337"/>
    <w:rsid w:val="6280204D"/>
    <w:rsid w:val="6290769B"/>
    <w:rsid w:val="62943D08"/>
    <w:rsid w:val="62A411F8"/>
    <w:rsid w:val="62A517BE"/>
    <w:rsid w:val="62BA7A46"/>
    <w:rsid w:val="62C376AC"/>
    <w:rsid w:val="62CE13CB"/>
    <w:rsid w:val="62D2197B"/>
    <w:rsid w:val="62F6011A"/>
    <w:rsid w:val="632170C2"/>
    <w:rsid w:val="6327422B"/>
    <w:rsid w:val="633B249F"/>
    <w:rsid w:val="6353654C"/>
    <w:rsid w:val="63552D76"/>
    <w:rsid w:val="6359778B"/>
    <w:rsid w:val="635B63E3"/>
    <w:rsid w:val="636642CA"/>
    <w:rsid w:val="636E2C67"/>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4C0187"/>
    <w:rsid w:val="64766F57"/>
    <w:rsid w:val="648939AA"/>
    <w:rsid w:val="649B1AC2"/>
    <w:rsid w:val="64A7467B"/>
    <w:rsid w:val="64C86505"/>
    <w:rsid w:val="64FE700F"/>
    <w:rsid w:val="65000502"/>
    <w:rsid w:val="6500327F"/>
    <w:rsid w:val="6503062C"/>
    <w:rsid w:val="6506609B"/>
    <w:rsid w:val="65083216"/>
    <w:rsid w:val="650E3D55"/>
    <w:rsid w:val="653A5EE7"/>
    <w:rsid w:val="65460728"/>
    <w:rsid w:val="65822810"/>
    <w:rsid w:val="65870C45"/>
    <w:rsid w:val="659B4BB9"/>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84848"/>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9C2E7E"/>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C91446"/>
    <w:rsid w:val="68E24981"/>
    <w:rsid w:val="69027347"/>
    <w:rsid w:val="69123F86"/>
    <w:rsid w:val="691C3525"/>
    <w:rsid w:val="69216128"/>
    <w:rsid w:val="69280874"/>
    <w:rsid w:val="69416EAD"/>
    <w:rsid w:val="694C5FA5"/>
    <w:rsid w:val="695D6B21"/>
    <w:rsid w:val="69611EE7"/>
    <w:rsid w:val="696C708E"/>
    <w:rsid w:val="696F4D5D"/>
    <w:rsid w:val="698336E4"/>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969D4"/>
    <w:rsid w:val="6A7B4B9C"/>
    <w:rsid w:val="6A973A89"/>
    <w:rsid w:val="6AA516B2"/>
    <w:rsid w:val="6AAF014C"/>
    <w:rsid w:val="6AC412B9"/>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BFC35E6"/>
    <w:rsid w:val="6C0E1232"/>
    <w:rsid w:val="6C240DF3"/>
    <w:rsid w:val="6C2E6123"/>
    <w:rsid w:val="6C45610F"/>
    <w:rsid w:val="6C547243"/>
    <w:rsid w:val="6C59472D"/>
    <w:rsid w:val="6C5A4564"/>
    <w:rsid w:val="6C603744"/>
    <w:rsid w:val="6C637CCF"/>
    <w:rsid w:val="6C646F5A"/>
    <w:rsid w:val="6C7802EB"/>
    <w:rsid w:val="6C783222"/>
    <w:rsid w:val="6C79488C"/>
    <w:rsid w:val="6C89456C"/>
    <w:rsid w:val="6CA20D5B"/>
    <w:rsid w:val="6CA41AC3"/>
    <w:rsid w:val="6CC14E69"/>
    <w:rsid w:val="6CD63FB3"/>
    <w:rsid w:val="6CD92F23"/>
    <w:rsid w:val="6D056EA6"/>
    <w:rsid w:val="6D221E52"/>
    <w:rsid w:val="6D227835"/>
    <w:rsid w:val="6D3C6626"/>
    <w:rsid w:val="6D5D0DB5"/>
    <w:rsid w:val="6D6855B1"/>
    <w:rsid w:val="6D7B4AB7"/>
    <w:rsid w:val="6D89784B"/>
    <w:rsid w:val="6D8C30CC"/>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851B75"/>
    <w:rsid w:val="6E920B5B"/>
    <w:rsid w:val="6E990B16"/>
    <w:rsid w:val="6EB169D3"/>
    <w:rsid w:val="6EB73361"/>
    <w:rsid w:val="6EB829B1"/>
    <w:rsid w:val="6EB978A9"/>
    <w:rsid w:val="6ECC3A24"/>
    <w:rsid w:val="6ED86D3E"/>
    <w:rsid w:val="6EE9744F"/>
    <w:rsid w:val="6EEC3F7C"/>
    <w:rsid w:val="6EEC7953"/>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A171F9"/>
    <w:rsid w:val="71AA48B1"/>
    <w:rsid w:val="71C7540C"/>
    <w:rsid w:val="71CD1377"/>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3774"/>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2325FA"/>
    <w:rsid w:val="75752B04"/>
    <w:rsid w:val="75783839"/>
    <w:rsid w:val="758910BB"/>
    <w:rsid w:val="759558DF"/>
    <w:rsid w:val="75955DA9"/>
    <w:rsid w:val="75977910"/>
    <w:rsid w:val="759F2A35"/>
    <w:rsid w:val="75B15C41"/>
    <w:rsid w:val="75CD3EFF"/>
    <w:rsid w:val="75D12923"/>
    <w:rsid w:val="75EA364B"/>
    <w:rsid w:val="75F20996"/>
    <w:rsid w:val="75F96973"/>
    <w:rsid w:val="76123E1D"/>
    <w:rsid w:val="76126C4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261D2"/>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7699"/>
    <w:rsid w:val="7833711D"/>
    <w:rsid w:val="78497C2E"/>
    <w:rsid w:val="7854087B"/>
    <w:rsid w:val="786A4053"/>
    <w:rsid w:val="78782A0D"/>
    <w:rsid w:val="787B5060"/>
    <w:rsid w:val="78822989"/>
    <w:rsid w:val="788720E7"/>
    <w:rsid w:val="78987FE4"/>
    <w:rsid w:val="78A90B04"/>
    <w:rsid w:val="78C53485"/>
    <w:rsid w:val="78C76A01"/>
    <w:rsid w:val="78CE058C"/>
    <w:rsid w:val="78EC45D8"/>
    <w:rsid w:val="78EC6DF0"/>
    <w:rsid w:val="78F5335B"/>
    <w:rsid w:val="790E4EEF"/>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140357"/>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24579"/>
    <w:rsid w:val="7BB31662"/>
    <w:rsid w:val="7BB37B52"/>
    <w:rsid w:val="7BB83E6C"/>
    <w:rsid w:val="7BD3716B"/>
    <w:rsid w:val="7BEC2711"/>
    <w:rsid w:val="7BF55850"/>
    <w:rsid w:val="7C0E1B52"/>
    <w:rsid w:val="7C1054B7"/>
    <w:rsid w:val="7C143FB0"/>
    <w:rsid w:val="7C26369C"/>
    <w:rsid w:val="7C2A465C"/>
    <w:rsid w:val="7C305879"/>
    <w:rsid w:val="7C34521A"/>
    <w:rsid w:val="7C4A2BD1"/>
    <w:rsid w:val="7C576C70"/>
    <w:rsid w:val="7C77043F"/>
    <w:rsid w:val="7C8A7CDC"/>
    <w:rsid w:val="7C924172"/>
    <w:rsid w:val="7C9E5A24"/>
    <w:rsid w:val="7CB4006B"/>
    <w:rsid w:val="7CB41BA4"/>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60DE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B274B4"/>
    <w:rsid w:val="7FC73596"/>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ascii="Arial" w:hAnsi="Arial"/>
      <w:lang w:eastAsia="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 w:type="paragraph" w:customStyle="1" w:styleId="77">
    <w:name w:val="TF"/>
    <w:basedOn w:val="56"/>
    <w:qFormat/>
    <w:uiPriority w:val="0"/>
    <w:pPr>
      <w:keepNext w:val="0"/>
      <w:spacing w:before="0" w:after="240"/>
    </w:pPr>
  </w:style>
  <w:style w:type="table" w:customStyle="1" w:styleId="78">
    <w:name w:val="Table Grid7"/>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2</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2024-04-08T11:52:07Z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A1CDB747EEAB49BF888A0BA9449178C1</vt:lpwstr>
  </property>
</Properties>
</file>